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05 </w:t>
      </w:r>
      <w:r w:rsidDel="00000000" w:rsidR="00000000" w:rsidRPr="00000000">
        <w:rPr>
          <w:b w:val="1"/>
          <w:u w:val="single"/>
          <w:rtl w:val="0"/>
        </w:rPr>
        <w:t xml:space="preserve">SPREČAVANJE POVRATKA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Sastanak u Predsjedničkim dvorima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22. kolovoz 1995.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Meeting at the Presidential Palace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22 August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sg5-01-sastanak-22kolovoz-en.pdf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sg5-01-sastanak-22kolovoz-hr.pdf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Sastanak u Predsjedničkim dvorima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30. kolovoz 1995.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Meeting at the Presidential Palace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30 August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sg5-02-sastanak-30kolovoz-en.pdf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sg5-02-sastanak-30kolovoz-hr.pdf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Uredba o privremenom preuzimanju i upravljanju imovinom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4. rujan 1995.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Decree on the temporary takeover and administration of properties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4 September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sg5-03-uredba-en.pdf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sg5-03-uredba-hr.pdf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Zakon o privremenom preuzimanju i upravljanju imovinom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27 September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27. rujan 1995.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Law on temporary takeover and administration of specified properties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sg5-04-zakon-en.pdf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sg5-04-zakon-hr.pdf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